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42A28" w14:textId="23BFD038" w:rsidR="008D0649" w:rsidRPr="009C12A9" w:rsidRDefault="00C15738" w:rsidP="009C12A9">
      <w:pPr>
        <w:jc w:val="center"/>
        <w:rPr>
          <w:rFonts w:ascii="Bahnschrift SemiBold" w:hAnsi="Bahnschrift SemiBold"/>
          <w:sz w:val="28"/>
          <w:szCs w:val="28"/>
        </w:rPr>
      </w:pPr>
      <w:r w:rsidRPr="009C12A9">
        <w:rPr>
          <w:rFonts w:ascii="Bahnschrift SemiBold" w:hAnsi="Bahnschrift SemiBold"/>
          <w:sz w:val="28"/>
          <w:szCs w:val="28"/>
        </w:rPr>
        <w:t>HOMEOWNER FEES</w:t>
      </w:r>
    </w:p>
    <w:p w14:paraId="2EAF848D" w14:textId="77777777" w:rsidR="00231899" w:rsidRDefault="00231899" w:rsidP="001C34A9"/>
    <w:tbl>
      <w:tblPr>
        <w:tblStyle w:val="TableGrid"/>
        <w:tblW w:w="10345" w:type="dxa"/>
        <w:tblInd w:w="508" w:type="dxa"/>
        <w:tblLook w:val="04A0" w:firstRow="1" w:lastRow="0" w:firstColumn="1" w:lastColumn="0" w:noHBand="0" w:noVBand="1"/>
      </w:tblPr>
      <w:tblGrid>
        <w:gridCol w:w="579"/>
        <w:gridCol w:w="1389"/>
        <w:gridCol w:w="1406"/>
        <w:gridCol w:w="2921"/>
        <w:gridCol w:w="1710"/>
        <w:gridCol w:w="2340"/>
      </w:tblGrid>
      <w:tr w:rsidR="00000D15" w14:paraId="0FD415C6" w14:textId="77777777" w:rsidTr="00231899">
        <w:trPr>
          <w:trHeight w:val="890"/>
        </w:trPr>
        <w:tc>
          <w:tcPr>
            <w:tcW w:w="579" w:type="dxa"/>
            <w:shd w:val="clear" w:color="auto" w:fill="0996FF"/>
          </w:tcPr>
          <w:p w14:paraId="410AC8C7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#</w:t>
            </w:r>
          </w:p>
        </w:tc>
        <w:tc>
          <w:tcPr>
            <w:tcW w:w="1389" w:type="dxa"/>
            <w:shd w:val="clear" w:color="auto" w:fill="0996FF"/>
          </w:tcPr>
          <w:p w14:paraId="55C5631E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Expense Item</w:t>
            </w:r>
          </w:p>
        </w:tc>
        <w:tc>
          <w:tcPr>
            <w:tcW w:w="1406" w:type="dxa"/>
            <w:shd w:val="clear" w:color="auto" w:fill="0996FF"/>
          </w:tcPr>
          <w:p w14:paraId="10785429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Whose Expense is it</w:t>
            </w:r>
          </w:p>
        </w:tc>
        <w:tc>
          <w:tcPr>
            <w:tcW w:w="2921" w:type="dxa"/>
            <w:shd w:val="clear" w:color="auto" w:fill="0996FF"/>
          </w:tcPr>
          <w:p w14:paraId="73416FB3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Description of Expense</w:t>
            </w:r>
          </w:p>
        </w:tc>
        <w:tc>
          <w:tcPr>
            <w:tcW w:w="1710" w:type="dxa"/>
            <w:shd w:val="clear" w:color="auto" w:fill="0996FF"/>
          </w:tcPr>
          <w:p w14:paraId="306718D2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Expense Amount in 202</w:t>
            </w:r>
            <w:r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4</w:t>
            </w:r>
          </w:p>
        </w:tc>
        <w:tc>
          <w:tcPr>
            <w:tcW w:w="2340" w:type="dxa"/>
            <w:shd w:val="clear" w:color="auto" w:fill="0996FF"/>
          </w:tcPr>
          <w:p w14:paraId="7E2FEE40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Payment Due Date &amp; Payee Info</w:t>
            </w:r>
          </w:p>
        </w:tc>
      </w:tr>
      <w:tr w:rsidR="00000D15" w14:paraId="69BDDEE5" w14:textId="77777777" w:rsidTr="00231899">
        <w:trPr>
          <w:trHeight w:val="1194"/>
        </w:trPr>
        <w:tc>
          <w:tcPr>
            <w:tcW w:w="579" w:type="dxa"/>
          </w:tcPr>
          <w:p w14:paraId="5653FE9B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</w:t>
            </w:r>
          </w:p>
        </w:tc>
        <w:tc>
          <w:tcPr>
            <w:tcW w:w="1389" w:type="dxa"/>
          </w:tcPr>
          <w:p w14:paraId="6F5B6A8E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Real Estate Taxes</w:t>
            </w:r>
          </w:p>
        </w:tc>
        <w:tc>
          <w:tcPr>
            <w:tcW w:w="1406" w:type="dxa"/>
          </w:tcPr>
          <w:p w14:paraId="2113B928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Homeowners</w:t>
            </w:r>
          </w:p>
        </w:tc>
        <w:tc>
          <w:tcPr>
            <w:tcW w:w="2921" w:type="dxa"/>
          </w:tcPr>
          <w:p w14:paraId="0CB2F8D8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Manatee County’s taxes based on the mileage rate multiplied by your house’s taxable value (</w:t>
            </w:r>
            <w:r>
              <w:rPr>
                <w:rFonts w:ascii="Avenir Next LT Pro" w:hAnsi="Avenir Next LT Pro"/>
                <w:sz w:val="19"/>
                <w:szCs w:val="19"/>
              </w:rPr>
              <w:t xml:space="preserve">= 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assessed value minus any exemptions).</w:t>
            </w:r>
            <w:r>
              <w:rPr>
                <w:rFonts w:ascii="Avenir Next LT Pro" w:hAnsi="Avenir Next LT Pro"/>
                <w:sz w:val="19"/>
                <w:szCs w:val="19"/>
              </w:rPr>
              <w:t xml:space="preserve"> If this is your primary residence, the homestead exemption saves you every year.</w:t>
            </w:r>
          </w:p>
        </w:tc>
        <w:tc>
          <w:tcPr>
            <w:tcW w:w="1710" w:type="dxa"/>
          </w:tcPr>
          <w:p w14:paraId="49012A9E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Varies by each house’s taxable value</w:t>
            </w:r>
          </w:p>
        </w:tc>
        <w:tc>
          <w:tcPr>
            <w:tcW w:w="2340" w:type="dxa"/>
          </w:tcPr>
          <w:p w14:paraId="4CCCD96C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Expenses 1-4 are combined onto one tax bill by Manatee County each October. Payment is due by the following March 31</w:t>
            </w:r>
            <w:r w:rsidRPr="001A02E9">
              <w:rPr>
                <w:rFonts w:ascii="Avenir Next LT Pro" w:hAnsi="Avenir Next LT Pro"/>
                <w:sz w:val="19"/>
                <w:szCs w:val="19"/>
                <w:vertAlign w:val="superscript"/>
              </w:rPr>
              <w:t>st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; discounts up to 4% are available if paid as early as the prior November 30</w:t>
            </w:r>
            <w:r w:rsidRPr="001A02E9">
              <w:rPr>
                <w:rFonts w:ascii="Avenir Next LT Pro" w:hAnsi="Avenir Next LT Pro"/>
                <w:sz w:val="19"/>
                <w:szCs w:val="19"/>
                <w:vertAlign w:val="superscript"/>
              </w:rPr>
              <w:t>th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.</w:t>
            </w:r>
          </w:p>
        </w:tc>
      </w:tr>
      <w:tr w:rsidR="00000D15" w14:paraId="6C37B01E" w14:textId="77777777" w:rsidTr="00231899">
        <w:trPr>
          <w:trHeight w:val="1264"/>
        </w:trPr>
        <w:tc>
          <w:tcPr>
            <w:tcW w:w="579" w:type="dxa"/>
            <w:shd w:val="clear" w:color="auto" w:fill="7AF4FA"/>
          </w:tcPr>
          <w:p w14:paraId="341CEF27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2</w:t>
            </w:r>
          </w:p>
        </w:tc>
        <w:tc>
          <w:tcPr>
            <w:tcW w:w="1389" w:type="dxa"/>
            <w:shd w:val="clear" w:color="auto" w:fill="7AF4FA"/>
          </w:tcPr>
          <w:p w14:paraId="550F7D97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Braden River-Fire District</w:t>
            </w:r>
          </w:p>
        </w:tc>
        <w:tc>
          <w:tcPr>
            <w:tcW w:w="1406" w:type="dxa"/>
            <w:shd w:val="clear" w:color="auto" w:fill="7AF4FA"/>
          </w:tcPr>
          <w:p w14:paraId="4E51DC33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Homeowners</w:t>
            </w:r>
          </w:p>
        </w:tc>
        <w:tc>
          <w:tcPr>
            <w:tcW w:w="2921" w:type="dxa"/>
            <w:shd w:val="clear" w:color="auto" w:fill="7AF4FA"/>
          </w:tcPr>
          <w:p w14:paraId="35798245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 fee to cover our fire district’s expenses. Note: This will always be listed as a separate line item on your tax bill.</w:t>
            </w:r>
          </w:p>
        </w:tc>
        <w:tc>
          <w:tcPr>
            <w:tcW w:w="1710" w:type="dxa"/>
            <w:shd w:val="clear" w:color="auto" w:fill="7AF4FA"/>
          </w:tcPr>
          <w:p w14:paraId="11876092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Based on square footage under roof</w:t>
            </w:r>
          </w:p>
        </w:tc>
        <w:tc>
          <w:tcPr>
            <w:tcW w:w="2340" w:type="dxa"/>
            <w:shd w:val="clear" w:color="auto" w:fill="7AF4FA"/>
          </w:tcPr>
          <w:p w14:paraId="119069CE" w14:textId="77777777" w:rsidR="00000D15" w:rsidRDefault="00000D15" w:rsidP="00B2118F">
            <w:pPr>
              <w:jc w:val="center"/>
            </w:pPr>
          </w:p>
        </w:tc>
      </w:tr>
      <w:tr w:rsidR="00000D15" w14:paraId="4EFF942A" w14:textId="77777777" w:rsidTr="00231899">
        <w:trPr>
          <w:trHeight w:val="3005"/>
        </w:trPr>
        <w:tc>
          <w:tcPr>
            <w:tcW w:w="579" w:type="dxa"/>
          </w:tcPr>
          <w:p w14:paraId="2F6C5627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3</w:t>
            </w:r>
          </w:p>
        </w:tc>
        <w:tc>
          <w:tcPr>
            <w:tcW w:w="1389" w:type="dxa"/>
          </w:tcPr>
          <w:p w14:paraId="6A31D555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CDD Assessment for debt service for the capital bond Series 2012</w:t>
            </w:r>
          </w:p>
        </w:tc>
        <w:tc>
          <w:tcPr>
            <w:tcW w:w="1406" w:type="dxa"/>
          </w:tcPr>
          <w:p w14:paraId="14D1FC71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homeowners of WCI-built homes (excludes first 96 homes and the Shores)</w:t>
            </w:r>
          </w:p>
        </w:tc>
        <w:tc>
          <w:tcPr>
            <w:tcW w:w="2921" w:type="dxa"/>
          </w:tcPr>
          <w:p w14:paraId="56CE375E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Bond that funded our roads, drainage, utilities, etc. This bond expires in 2031; you may pay off your share early, if preferred. </w:t>
            </w:r>
            <w:r>
              <w:rPr>
                <w:rFonts w:ascii="Avenir Next LT Pro" w:hAnsi="Avenir Next LT Pro"/>
                <w:sz w:val="19"/>
                <w:szCs w:val="19"/>
              </w:rPr>
              <w:t>Contact CDD Management for more information.</w:t>
            </w:r>
          </w:p>
        </w:tc>
        <w:tc>
          <w:tcPr>
            <w:tcW w:w="1710" w:type="dxa"/>
          </w:tcPr>
          <w:p w14:paraId="402EF374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 fixed amount based on the size and type of your home.</w:t>
            </w:r>
          </w:p>
        </w:tc>
        <w:tc>
          <w:tcPr>
            <w:tcW w:w="2340" w:type="dxa"/>
          </w:tcPr>
          <w:p w14:paraId="643E8EF7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Homeowners in the Shores are not a part of the CDD; therefore, for these homes this portion of the CDD bill is not included in the Manatee County tax bill. The Shores do not pay item #3 &amp; 3A, but pay item #4 as an “additional assessment” directly to the MPOA.</w:t>
            </w:r>
          </w:p>
        </w:tc>
      </w:tr>
      <w:tr w:rsidR="00000D15" w14:paraId="67D21D5F" w14:textId="77777777" w:rsidTr="00231899">
        <w:trPr>
          <w:trHeight w:val="1520"/>
        </w:trPr>
        <w:tc>
          <w:tcPr>
            <w:tcW w:w="579" w:type="dxa"/>
            <w:shd w:val="clear" w:color="auto" w:fill="7AF4FA"/>
          </w:tcPr>
          <w:p w14:paraId="3DE3E174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3A</w:t>
            </w:r>
          </w:p>
        </w:tc>
        <w:tc>
          <w:tcPr>
            <w:tcW w:w="1389" w:type="dxa"/>
            <w:shd w:val="clear" w:color="auto" w:fill="7AF4FA"/>
          </w:tcPr>
          <w:p w14:paraId="6A4D02F1" w14:textId="77777777" w:rsidR="00000D15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CDD assessment for debt service on 2016 Series Bond</w:t>
            </w:r>
          </w:p>
          <w:p w14:paraId="2776D5A8" w14:textId="77777777" w:rsidR="00000D15" w:rsidRDefault="00000D15" w:rsidP="00B2118F">
            <w:pPr>
              <w:jc w:val="center"/>
            </w:pPr>
          </w:p>
        </w:tc>
        <w:tc>
          <w:tcPr>
            <w:tcW w:w="1406" w:type="dxa"/>
            <w:shd w:val="clear" w:color="auto" w:fill="7AF4FA"/>
          </w:tcPr>
          <w:p w14:paraId="14EF5C69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Waterlefe homeowners (excludes the Shores homeowners)</w:t>
            </w:r>
          </w:p>
        </w:tc>
        <w:tc>
          <w:tcPr>
            <w:tcW w:w="2921" w:type="dxa"/>
            <w:shd w:val="clear" w:color="auto" w:fill="7AF4FA"/>
          </w:tcPr>
          <w:p w14:paraId="3DB8DB79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bond replaces the 2001 Golf Course Bonds and expires in 2036; you may pay off your share early, if preferred. Contact CDD Management for more information.</w:t>
            </w:r>
          </w:p>
        </w:tc>
        <w:tc>
          <w:tcPr>
            <w:tcW w:w="1710" w:type="dxa"/>
            <w:shd w:val="clear" w:color="auto" w:fill="7AF4FA"/>
          </w:tcPr>
          <w:p w14:paraId="77C874B0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>
              <w:rPr>
                <w:rFonts w:ascii="Avenir Next LT Pro" w:hAnsi="Avenir Next LT Pro"/>
                <w:sz w:val="19"/>
                <w:szCs w:val="19"/>
              </w:rPr>
              <w:t>1,306.00</w:t>
            </w:r>
          </w:p>
        </w:tc>
        <w:tc>
          <w:tcPr>
            <w:tcW w:w="2340" w:type="dxa"/>
            <w:shd w:val="clear" w:color="auto" w:fill="7AF4FA"/>
          </w:tcPr>
          <w:p w14:paraId="60318BEE" w14:textId="77777777" w:rsidR="00000D15" w:rsidRDefault="00000D15" w:rsidP="00B2118F">
            <w:pPr>
              <w:jc w:val="center"/>
            </w:pPr>
          </w:p>
        </w:tc>
      </w:tr>
      <w:tr w:rsidR="00000D15" w14:paraId="26827537" w14:textId="77777777" w:rsidTr="00231899">
        <w:trPr>
          <w:trHeight w:val="1583"/>
        </w:trPr>
        <w:tc>
          <w:tcPr>
            <w:tcW w:w="579" w:type="dxa"/>
          </w:tcPr>
          <w:p w14:paraId="02BDC5A5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4</w:t>
            </w:r>
          </w:p>
        </w:tc>
        <w:tc>
          <w:tcPr>
            <w:tcW w:w="1389" w:type="dxa"/>
          </w:tcPr>
          <w:p w14:paraId="4553EF48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CDD Assessment for operations and </w:t>
            </w:r>
            <w:r w:rsidRPr="00C848BF">
              <w:rPr>
                <w:rFonts w:ascii="Avenir Next LT Pro" w:hAnsi="Avenir Next LT Pro"/>
                <w:sz w:val="19"/>
                <w:szCs w:val="19"/>
              </w:rPr>
              <w:t>maintenance</w:t>
            </w:r>
          </w:p>
        </w:tc>
        <w:tc>
          <w:tcPr>
            <w:tcW w:w="1406" w:type="dxa"/>
          </w:tcPr>
          <w:p w14:paraId="400F7AAB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homeowners</w:t>
            </w:r>
          </w:p>
        </w:tc>
        <w:tc>
          <w:tcPr>
            <w:tcW w:w="2921" w:type="dxa"/>
          </w:tcPr>
          <w:p w14:paraId="2CE1D6FA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Covers the gatehouse attendants, security equipment, maintenance to common roads, ponds, canals, wetlands, etc.</w:t>
            </w:r>
          </w:p>
        </w:tc>
        <w:tc>
          <w:tcPr>
            <w:tcW w:w="1710" w:type="dxa"/>
          </w:tcPr>
          <w:p w14:paraId="6F00FB07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$2,</w:t>
            </w:r>
            <w:r>
              <w:rPr>
                <w:rFonts w:ascii="Avenir Next LT Pro" w:hAnsi="Avenir Next LT Pro"/>
                <w:sz w:val="19"/>
                <w:szCs w:val="19"/>
              </w:rPr>
              <w:t>079.20</w:t>
            </w:r>
          </w:p>
        </w:tc>
        <w:tc>
          <w:tcPr>
            <w:tcW w:w="2340" w:type="dxa"/>
          </w:tcPr>
          <w:p w14:paraId="13AB1CF4" w14:textId="77777777" w:rsidR="00000D15" w:rsidRDefault="00000D15" w:rsidP="00B2118F">
            <w:pPr>
              <w:jc w:val="center"/>
            </w:pPr>
          </w:p>
        </w:tc>
      </w:tr>
      <w:tr w:rsidR="00000D15" w14:paraId="122DE474" w14:textId="77777777" w:rsidTr="00231899">
        <w:trPr>
          <w:trHeight w:val="2150"/>
        </w:trPr>
        <w:tc>
          <w:tcPr>
            <w:tcW w:w="579" w:type="dxa"/>
            <w:shd w:val="clear" w:color="auto" w:fill="7AF4FA"/>
          </w:tcPr>
          <w:p w14:paraId="75D777C6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5</w:t>
            </w:r>
          </w:p>
        </w:tc>
        <w:tc>
          <w:tcPr>
            <w:tcW w:w="1389" w:type="dxa"/>
            <w:shd w:val="clear" w:color="auto" w:fill="7AF4FA"/>
          </w:tcPr>
          <w:p w14:paraId="661ADAFE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Master Property Owner’s Association (MPOA) Dues</w:t>
            </w:r>
          </w:p>
        </w:tc>
        <w:tc>
          <w:tcPr>
            <w:tcW w:w="1406" w:type="dxa"/>
            <w:shd w:val="clear" w:color="auto" w:fill="7AF4FA"/>
          </w:tcPr>
          <w:p w14:paraId="2F502A0D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Homeowners</w:t>
            </w:r>
          </w:p>
        </w:tc>
        <w:tc>
          <w:tcPr>
            <w:tcW w:w="2921" w:type="dxa"/>
            <w:shd w:val="clear" w:color="auto" w:fill="7AF4FA"/>
          </w:tcPr>
          <w:p w14:paraId="3169FE27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61</w:t>
            </w:r>
            <w:r>
              <w:rPr>
                <w:rFonts w:ascii="Avenir Next LT Pro" w:hAnsi="Avenir Next LT Pro"/>
                <w:sz w:val="19"/>
                <w:szCs w:val="19"/>
              </w:rPr>
              <w:t>7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Waterlefe properties are responsible for the operations and maintenance of the River Club, pool, fitness center, cable TV, association administration, insurance, and other miscellaneous services.</w:t>
            </w:r>
          </w:p>
          <w:p w14:paraId="4A47F84E" w14:textId="77777777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7AF4FA"/>
          </w:tcPr>
          <w:p w14:paraId="460DB5E2" w14:textId="78F10CFC" w:rsidR="00000D15" w:rsidRPr="001A02E9" w:rsidRDefault="00000D1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 w:rsidR="00F60CF1">
              <w:rPr>
                <w:rFonts w:ascii="Avenir Next LT Pro" w:hAnsi="Avenir Next LT Pro"/>
                <w:sz w:val="19"/>
                <w:szCs w:val="19"/>
              </w:rPr>
              <w:t>3,672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/year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br/>
              <w:t>$</w:t>
            </w:r>
            <w:r w:rsidR="00F60CF1">
              <w:rPr>
                <w:rFonts w:ascii="Avenir Next LT Pro" w:hAnsi="Avenir Next LT Pro"/>
                <w:sz w:val="19"/>
                <w:szCs w:val="19"/>
              </w:rPr>
              <w:t>918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/quarter</w:t>
            </w:r>
          </w:p>
        </w:tc>
        <w:tc>
          <w:tcPr>
            <w:tcW w:w="2340" w:type="dxa"/>
            <w:shd w:val="clear" w:color="auto" w:fill="7AF4FA"/>
          </w:tcPr>
          <w:p w14:paraId="17076802" w14:textId="77777777" w:rsidR="00000D15" w:rsidRDefault="00000D15" w:rsidP="00B2118F">
            <w:pPr>
              <w:jc w:val="center"/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MPOA emails quarterly notices (January, April, July, October) and may be paid automatically by authorizing Pre-Authorized Payment. Statements available online</w:t>
            </w:r>
          </w:p>
        </w:tc>
      </w:tr>
    </w:tbl>
    <w:p w14:paraId="7E49C2DD" w14:textId="77D26949" w:rsidR="006979FC" w:rsidRDefault="00F40210" w:rsidP="00D03222">
      <w:pPr>
        <w:jc w:val="center"/>
      </w:pPr>
      <w:r w:rsidRPr="009C12A9">
        <w:rPr>
          <w:rFonts w:ascii="Bahnschrift SemiBold" w:hAnsi="Bahnschrift SemiBold"/>
          <w:sz w:val="28"/>
          <w:szCs w:val="28"/>
        </w:rPr>
        <w:lastRenderedPageBreak/>
        <w:t>HOMEOWNER FEES</w:t>
      </w:r>
      <w:r w:rsidR="004E6B55">
        <w:tab/>
      </w:r>
    </w:p>
    <w:tbl>
      <w:tblPr>
        <w:tblStyle w:val="TableGrid"/>
        <w:tblW w:w="10318" w:type="dxa"/>
        <w:tblInd w:w="535" w:type="dxa"/>
        <w:tblLook w:val="04A0" w:firstRow="1" w:lastRow="0" w:firstColumn="1" w:lastColumn="0" w:noHBand="0" w:noVBand="1"/>
      </w:tblPr>
      <w:tblGrid>
        <w:gridCol w:w="594"/>
        <w:gridCol w:w="1326"/>
        <w:gridCol w:w="1456"/>
        <w:gridCol w:w="15"/>
        <w:gridCol w:w="2819"/>
        <w:gridCol w:w="1810"/>
        <w:gridCol w:w="2253"/>
        <w:gridCol w:w="45"/>
      </w:tblGrid>
      <w:tr w:rsidR="006979FC" w14:paraId="21F76ADD" w14:textId="77777777" w:rsidTr="000E53EC">
        <w:trPr>
          <w:trHeight w:val="890"/>
        </w:trPr>
        <w:tc>
          <w:tcPr>
            <w:tcW w:w="594" w:type="dxa"/>
            <w:shd w:val="clear" w:color="auto" w:fill="0996FF"/>
          </w:tcPr>
          <w:p w14:paraId="6EC58335" w14:textId="77777777" w:rsidR="006979FC" w:rsidRDefault="006979FC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#</w:t>
            </w:r>
          </w:p>
        </w:tc>
        <w:tc>
          <w:tcPr>
            <w:tcW w:w="1326" w:type="dxa"/>
            <w:shd w:val="clear" w:color="auto" w:fill="0996FF"/>
          </w:tcPr>
          <w:p w14:paraId="2A4769E3" w14:textId="77777777" w:rsidR="006979FC" w:rsidRDefault="006979FC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Expense Item</w:t>
            </w:r>
          </w:p>
        </w:tc>
        <w:tc>
          <w:tcPr>
            <w:tcW w:w="1456" w:type="dxa"/>
            <w:shd w:val="clear" w:color="auto" w:fill="0996FF"/>
          </w:tcPr>
          <w:p w14:paraId="10B5F705" w14:textId="77777777" w:rsidR="006979FC" w:rsidRDefault="006979FC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Whose Expense is it</w:t>
            </w:r>
          </w:p>
        </w:tc>
        <w:tc>
          <w:tcPr>
            <w:tcW w:w="2834" w:type="dxa"/>
            <w:gridSpan w:val="2"/>
            <w:shd w:val="clear" w:color="auto" w:fill="0996FF"/>
          </w:tcPr>
          <w:p w14:paraId="2FD22E38" w14:textId="77777777" w:rsidR="006979FC" w:rsidRDefault="006979FC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Description of Expense</w:t>
            </w:r>
          </w:p>
        </w:tc>
        <w:tc>
          <w:tcPr>
            <w:tcW w:w="1810" w:type="dxa"/>
            <w:shd w:val="clear" w:color="auto" w:fill="0996FF"/>
          </w:tcPr>
          <w:p w14:paraId="2D43E50C" w14:textId="77777777" w:rsidR="006979FC" w:rsidRDefault="006979FC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Expense Amount in 202</w:t>
            </w:r>
            <w:r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4</w:t>
            </w:r>
          </w:p>
        </w:tc>
        <w:tc>
          <w:tcPr>
            <w:tcW w:w="2298" w:type="dxa"/>
            <w:gridSpan w:val="2"/>
            <w:shd w:val="clear" w:color="auto" w:fill="0996FF"/>
          </w:tcPr>
          <w:p w14:paraId="20B6DADF" w14:textId="77777777" w:rsidR="006979FC" w:rsidRDefault="006979FC" w:rsidP="00B2118F">
            <w:pPr>
              <w:jc w:val="center"/>
            </w:pPr>
            <w:r w:rsidRPr="001A02E9">
              <w:rPr>
                <w:rFonts w:ascii="Avenir Next LT Pro" w:hAnsi="Avenir Next LT Pro"/>
                <w:b/>
                <w:bCs/>
                <w:color w:val="FFFFFF" w:themeColor="background1"/>
                <w:sz w:val="19"/>
                <w:szCs w:val="19"/>
              </w:rPr>
              <w:t>Payment Due Date &amp; Payee Info</w:t>
            </w:r>
          </w:p>
        </w:tc>
      </w:tr>
      <w:tr w:rsidR="006979FC" w:rsidRPr="001A02E9" w14:paraId="5E45647C" w14:textId="77777777" w:rsidTr="000E53EC">
        <w:trPr>
          <w:gridAfter w:val="1"/>
          <w:wAfter w:w="45" w:type="dxa"/>
          <w:trHeight w:val="1970"/>
        </w:trPr>
        <w:tc>
          <w:tcPr>
            <w:tcW w:w="594" w:type="dxa"/>
          </w:tcPr>
          <w:p w14:paraId="7FF84EDE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6</w:t>
            </w:r>
          </w:p>
        </w:tc>
        <w:tc>
          <w:tcPr>
            <w:tcW w:w="1326" w:type="dxa"/>
          </w:tcPr>
          <w:p w14:paraId="73F68917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River Club Minimum</w:t>
            </w:r>
          </w:p>
        </w:tc>
        <w:tc>
          <w:tcPr>
            <w:tcW w:w="1471" w:type="dxa"/>
            <w:gridSpan w:val="2"/>
          </w:tcPr>
          <w:p w14:paraId="53F62DAB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All Homeowners</w:t>
            </w:r>
          </w:p>
        </w:tc>
        <w:tc>
          <w:tcPr>
            <w:tcW w:w="2819" w:type="dxa"/>
          </w:tcPr>
          <w:p w14:paraId="2642CBC5" w14:textId="77777777" w:rsidR="004E6B55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Unused balance remaining shows on monthly MPOA statement. </w:t>
            </w:r>
            <w:r>
              <w:rPr>
                <w:rFonts w:ascii="Avenir Next LT Pro" w:hAnsi="Avenir Next LT Pro"/>
                <w:sz w:val="19"/>
                <w:szCs w:val="19"/>
              </w:rPr>
              <w:t>Billed annually based on the resident’s last name.</w:t>
            </w:r>
          </w:p>
          <w:p w14:paraId="6B900574" w14:textId="77777777" w:rsidR="004E6B55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>
              <w:rPr>
                <w:rFonts w:ascii="Avenir Next LT Pro" w:hAnsi="Avenir Next LT Pro"/>
                <w:sz w:val="19"/>
                <w:szCs w:val="19"/>
              </w:rPr>
              <w:t>A-D: April 1 to March 31</w:t>
            </w:r>
          </w:p>
          <w:p w14:paraId="0F2E1886" w14:textId="77777777" w:rsidR="004E6B55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>
              <w:rPr>
                <w:rFonts w:ascii="Avenir Next LT Pro" w:hAnsi="Avenir Next LT Pro"/>
                <w:sz w:val="19"/>
                <w:szCs w:val="19"/>
              </w:rPr>
              <w:t>E-K: July 1-June 30</w:t>
            </w:r>
          </w:p>
          <w:p w14:paraId="766F7703" w14:textId="77777777" w:rsidR="004E6B55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>
              <w:rPr>
                <w:rFonts w:ascii="Avenir Next LT Pro" w:hAnsi="Avenir Next LT Pro"/>
                <w:sz w:val="19"/>
                <w:szCs w:val="19"/>
              </w:rPr>
              <w:t>L-Q: October 1 to September 31</w:t>
            </w:r>
          </w:p>
          <w:p w14:paraId="2D359FFB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>
              <w:rPr>
                <w:rFonts w:ascii="Avenir Next LT Pro" w:hAnsi="Avenir Next LT Pro"/>
                <w:sz w:val="19"/>
                <w:szCs w:val="19"/>
              </w:rPr>
              <w:t>R-Z: January 1 to December 31</w:t>
            </w:r>
          </w:p>
        </w:tc>
        <w:tc>
          <w:tcPr>
            <w:tcW w:w="1810" w:type="dxa"/>
          </w:tcPr>
          <w:p w14:paraId="7D473D9E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$500+ tax/year. Minimum usage of the River Club does NOT include charges made at the Golf Club Grille</w:t>
            </w:r>
          </w:p>
        </w:tc>
        <w:tc>
          <w:tcPr>
            <w:tcW w:w="2253" w:type="dxa"/>
          </w:tcPr>
          <w:p w14:paraId="3113C3A5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Member charges at the Waterlefe River Club are billed monthly and may be paid automatically by authorizing Pre-Authorized Payment. Statements are available online</w:t>
            </w:r>
          </w:p>
        </w:tc>
      </w:tr>
      <w:tr w:rsidR="006979FC" w:rsidRPr="001A02E9" w14:paraId="22D84531" w14:textId="77777777" w:rsidTr="000E53EC">
        <w:trPr>
          <w:gridAfter w:val="1"/>
          <w:wAfter w:w="45" w:type="dxa"/>
          <w:trHeight w:val="1160"/>
        </w:trPr>
        <w:tc>
          <w:tcPr>
            <w:tcW w:w="594" w:type="dxa"/>
            <w:shd w:val="clear" w:color="auto" w:fill="7AF4FA"/>
          </w:tcPr>
          <w:p w14:paraId="272CD731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7</w:t>
            </w:r>
          </w:p>
        </w:tc>
        <w:tc>
          <w:tcPr>
            <w:tcW w:w="1326" w:type="dxa"/>
            <w:shd w:val="clear" w:color="auto" w:fill="7AF4FA"/>
          </w:tcPr>
          <w:p w14:paraId="7E484D16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285FAF">
              <w:rPr>
                <w:rFonts w:ascii="Avenir Next LT Pro" w:hAnsi="Avenir Next LT Pro"/>
                <w:sz w:val="19"/>
                <w:szCs w:val="19"/>
              </w:rPr>
              <w:t>Landscaping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&amp; Dues</w:t>
            </w:r>
          </w:p>
        </w:tc>
        <w:tc>
          <w:tcPr>
            <w:tcW w:w="1471" w:type="dxa"/>
            <w:gridSpan w:val="2"/>
            <w:shd w:val="clear" w:color="auto" w:fill="7AF4FA"/>
          </w:tcPr>
          <w:p w14:paraId="36C2407A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Villa owners only</w:t>
            </w:r>
          </w:p>
        </w:tc>
        <w:tc>
          <w:tcPr>
            <w:tcW w:w="2819" w:type="dxa"/>
            <w:shd w:val="clear" w:color="auto" w:fill="7AF4FA"/>
          </w:tcPr>
          <w:p w14:paraId="553048FC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For the 156 Villa owners; this fee covers landscape maintenance included in the </w:t>
            </w:r>
            <w:r>
              <w:rPr>
                <w:rFonts w:ascii="Avenir Next LT Pro" w:hAnsi="Avenir Next LT Pro"/>
                <w:sz w:val="19"/>
                <w:szCs w:val="19"/>
              </w:rPr>
              <w:t>landscape contact and management services.</w:t>
            </w:r>
          </w:p>
        </w:tc>
        <w:tc>
          <w:tcPr>
            <w:tcW w:w="1810" w:type="dxa"/>
            <w:shd w:val="clear" w:color="auto" w:fill="7AF4FA"/>
          </w:tcPr>
          <w:p w14:paraId="386CBC05" w14:textId="681461D5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 w:rsidR="00F60CF1">
              <w:rPr>
                <w:rFonts w:ascii="Avenir Next LT Pro" w:hAnsi="Avenir Next LT Pro"/>
                <w:sz w:val="19"/>
                <w:szCs w:val="19"/>
              </w:rPr>
              <w:t>2,160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/year</w:t>
            </w:r>
          </w:p>
          <w:p w14:paraId="3E75E8CE" w14:textId="423733C1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$5</w:t>
            </w:r>
            <w:r w:rsidR="00F60CF1">
              <w:rPr>
                <w:rFonts w:ascii="Avenir Next LT Pro" w:hAnsi="Avenir Next LT Pro"/>
                <w:sz w:val="19"/>
                <w:szCs w:val="19"/>
              </w:rPr>
              <w:t>40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/quarter</w:t>
            </w:r>
          </w:p>
        </w:tc>
        <w:tc>
          <w:tcPr>
            <w:tcW w:w="2253" w:type="dxa"/>
            <w:shd w:val="clear" w:color="auto" w:fill="7AF4FA"/>
          </w:tcPr>
          <w:p w14:paraId="4C70EA45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Quarterly payments payable to Waterlefe MPOA</w:t>
            </w:r>
          </w:p>
        </w:tc>
      </w:tr>
      <w:tr w:rsidR="006979FC" w:rsidRPr="001A02E9" w14:paraId="1458836B" w14:textId="77777777" w:rsidTr="000E53EC">
        <w:trPr>
          <w:gridAfter w:val="1"/>
          <w:wAfter w:w="45" w:type="dxa"/>
          <w:trHeight w:val="1340"/>
        </w:trPr>
        <w:tc>
          <w:tcPr>
            <w:tcW w:w="594" w:type="dxa"/>
          </w:tcPr>
          <w:p w14:paraId="5DE32065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8</w:t>
            </w:r>
          </w:p>
        </w:tc>
        <w:tc>
          <w:tcPr>
            <w:tcW w:w="1326" w:type="dxa"/>
          </w:tcPr>
          <w:p w14:paraId="6D5EBA59" w14:textId="77777777" w:rsidR="004E6B55" w:rsidRPr="00BE7361" w:rsidRDefault="004E6B55" w:rsidP="00B2118F">
            <w:pPr>
              <w:jc w:val="center"/>
              <w:rPr>
                <w:rFonts w:ascii="Avenir Next LT Pro" w:hAnsi="Avenir Next LT Pro"/>
                <w:sz w:val="17"/>
                <w:szCs w:val="17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Watch Association Dues</w:t>
            </w:r>
          </w:p>
        </w:tc>
        <w:tc>
          <w:tcPr>
            <w:tcW w:w="1471" w:type="dxa"/>
            <w:gridSpan w:val="2"/>
          </w:tcPr>
          <w:p w14:paraId="661FEB9B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Watch Homeowners</w:t>
            </w:r>
          </w:p>
        </w:tc>
        <w:tc>
          <w:tcPr>
            <w:tcW w:w="2819" w:type="dxa"/>
          </w:tcPr>
          <w:p w14:paraId="719E7C23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For the 80 condo owners; this fee covers insurance, exterior maintenance, landscape maintenance </w:t>
            </w:r>
            <w:r>
              <w:rPr>
                <w:rFonts w:ascii="Avenir Next LT Pro" w:hAnsi="Avenir Next LT Pro"/>
                <w:sz w:val="19"/>
                <w:szCs w:val="19"/>
              </w:rPr>
              <w:t>and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management services</w:t>
            </w:r>
          </w:p>
        </w:tc>
        <w:tc>
          <w:tcPr>
            <w:tcW w:w="1810" w:type="dxa"/>
          </w:tcPr>
          <w:p w14:paraId="680D3AF5" w14:textId="3311CA92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Ranges from $</w:t>
            </w:r>
            <w:r>
              <w:rPr>
                <w:rFonts w:ascii="Avenir Next LT Pro" w:hAnsi="Avenir Next LT Pro"/>
                <w:sz w:val="19"/>
                <w:szCs w:val="19"/>
              </w:rPr>
              <w:t>3</w:t>
            </w:r>
            <w:r w:rsidR="00F60CF1">
              <w:rPr>
                <w:rFonts w:ascii="Avenir Next LT Pro" w:hAnsi="Avenir Next LT Pro"/>
                <w:sz w:val="19"/>
                <w:szCs w:val="19"/>
              </w:rPr>
              <w:t>77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-</w:t>
            </w:r>
            <w:r>
              <w:rPr>
                <w:rFonts w:ascii="Avenir Next LT Pro" w:hAnsi="Avenir Next LT Pro"/>
                <w:sz w:val="19"/>
                <w:szCs w:val="19"/>
              </w:rPr>
              <w:t>$7</w:t>
            </w:r>
            <w:r w:rsidR="00F60CF1">
              <w:rPr>
                <w:rFonts w:ascii="Avenir Next LT Pro" w:hAnsi="Avenir Next LT Pro"/>
                <w:sz w:val="19"/>
                <w:szCs w:val="19"/>
              </w:rPr>
              <w:t>16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based on size of unit</w:t>
            </w:r>
          </w:p>
        </w:tc>
        <w:tc>
          <w:tcPr>
            <w:tcW w:w="2253" w:type="dxa"/>
          </w:tcPr>
          <w:p w14:paraId="5E9BA6BD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Monthly payments payable to The Watch at Waterlefe</w:t>
            </w:r>
          </w:p>
        </w:tc>
      </w:tr>
      <w:tr w:rsidR="006979FC" w:rsidRPr="001A02E9" w14:paraId="774BFB9F" w14:textId="77777777" w:rsidTr="000E53EC">
        <w:trPr>
          <w:gridAfter w:val="1"/>
          <w:wAfter w:w="45" w:type="dxa"/>
          <w:trHeight w:val="1340"/>
        </w:trPr>
        <w:tc>
          <w:tcPr>
            <w:tcW w:w="594" w:type="dxa"/>
            <w:shd w:val="clear" w:color="auto" w:fill="7AF4FA"/>
          </w:tcPr>
          <w:p w14:paraId="22B662C9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9</w:t>
            </w:r>
          </w:p>
        </w:tc>
        <w:tc>
          <w:tcPr>
            <w:tcW w:w="1326" w:type="dxa"/>
            <w:shd w:val="clear" w:color="auto" w:fill="7AF4FA"/>
          </w:tcPr>
          <w:p w14:paraId="49F8745D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BE7361">
              <w:rPr>
                <w:rFonts w:ascii="Avenir Next LT Pro" w:hAnsi="Avenir Next LT Pro"/>
                <w:sz w:val="18"/>
                <w:szCs w:val="18"/>
              </w:rPr>
              <w:t>The Watch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II Association Dues</w:t>
            </w:r>
          </w:p>
        </w:tc>
        <w:tc>
          <w:tcPr>
            <w:tcW w:w="1471" w:type="dxa"/>
            <w:gridSpan w:val="2"/>
            <w:shd w:val="clear" w:color="auto" w:fill="7AF4FA"/>
          </w:tcPr>
          <w:p w14:paraId="5B94E83A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Watch II Homeowners</w:t>
            </w:r>
          </w:p>
        </w:tc>
        <w:tc>
          <w:tcPr>
            <w:tcW w:w="2819" w:type="dxa"/>
            <w:shd w:val="clear" w:color="auto" w:fill="7AF4FA"/>
          </w:tcPr>
          <w:p w14:paraId="7A9DEE1B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For the 56 condo owners; this fee covers insurance, exterior maintenance, landscape maintenance </w:t>
            </w:r>
            <w:r>
              <w:rPr>
                <w:rFonts w:ascii="Avenir Next LT Pro" w:hAnsi="Avenir Next LT Pro"/>
                <w:sz w:val="19"/>
                <w:szCs w:val="19"/>
              </w:rPr>
              <w:t>and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management services</w:t>
            </w:r>
          </w:p>
        </w:tc>
        <w:tc>
          <w:tcPr>
            <w:tcW w:w="1810" w:type="dxa"/>
            <w:shd w:val="clear" w:color="auto" w:fill="7AF4FA"/>
          </w:tcPr>
          <w:p w14:paraId="17C47760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>
              <w:rPr>
                <w:rFonts w:ascii="Avenir Next LT Pro" w:hAnsi="Avenir Next LT Pro"/>
                <w:sz w:val="19"/>
                <w:szCs w:val="19"/>
              </w:rPr>
              <w:t>Please contact Mr. Rowland, Watch II Treasurer at 941-773-2876 for this information</w:t>
            </w:r>
          </w:p>
        </w:tc>
        <w:tc>
          <w:tcPr>
            <w:tcW w:w="2253" w:type="dxa"/>
            <w:shd w:val="clear" w:color="auto" w:fill="7AF4FA"/>
          </w:tcPr>
          <w:p w14:paraId="67245133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Monthly payments payable to The Watch II at Waterlefe</w:t>
            </w:r>
          </w:p>
        </w:tc>
      </w:tr>
      <w:tr w:rsidR="006979FC" w:rsidRPr="001A02E9" w14:paraId="3D14F5BE" w14:textId="77777777" w:rsidTr="000E53EC">
        <w:trPr>
          <w:gridAfter w:val="1"/>
          <w:wAfter w:w="45" w:type="dxa"/>
          <w:trHeight w:val="1340"/>
        </w:trPr>
        <w:tc>
          <w:tcPr>
            <w:tcW w:w="594" w:type="dxa"/>
          </w:tcPr>
          <w:p w14:paraId="39010AC2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10</w:t>
            </w:r>
          </w:p>
        </w:tc>
        <w:tc>
          <w:tcPr>
            <w:tcW w:w="1326" w:type="dxa"/>
          </w:tcPr>
          <w:p w14:paraId="78068206" w14:textId="77777777" w:rsidR="004E6B55" w:rsidRPr="00BE7361" w:rsidRDefault="004E6B55" w:rsidP="00B2118F">
            <w:pPr>
              <w:jc w:val="center"/>
              <w:rPr>
                <w:rFonts w:ascii="Avenir Next LT Pro" w:hAnsi="Avenir Next LT Pro"/>
                <w:sz w:val="18"/>
                <w:szCs w:val="18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Sound Association Dues</w:t>
            </w:r>
          </w:p>
        </w:tc>
        <w:tc>
          <w:tcPr>
            <w:tcW w:w="1471" w:type="dxa"/>
            <w:gridSpan w:val="2"/>
          </w:tcPr>
          <w:p w14:paraId="2CB7204F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Sound Homeowners</w:t>
            </w:r>
          </w:p>
        </w:tc>
        <w:tc>
          <w:tcPr>
            <w:tcW w:w="2819" w:type="dxa"/>
          </w:tcPr>
          <w:p w14:paraId="085F418E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For the 8 paired river estate owners; this fee covers insurance, exterior maintenance, landscape maintenance </w:t>
            </w:r>
            <w:r>
              <w:rPr>
                <w:rFonts w:ascii="Avenir Next LT Pro" w:hAnsi="Avenir Next LT Pro"/>
                <w:sz w:val="19"/>
                <w:szCs w:val="19"/>
              </w:rPr>
              <w:t>and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management services</w:t>
            </w:r>
          </w:p>
        </w:tc>
        <w:tc>
          <w:tcPr>
            <w:tcW w:w="1810" w:type="dxa"/>
          </w:tcPr>
          <w:p w14:paraId="4962A9AB" w14:textId="77777777" w:rsidR="004E6B55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>
              <w:rPr>
                <w:rFonts w:ascii="Avenir Next LT Pro" w:hAnsi="Avenir Next LT Pro"/>
                <w:sz w:val="19"/>
                <w:szCs w:val="19"/>
              </w:rPr>
              <w:t>4,065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/quarter</w:t>
            </w:r>
          </w:p>
        </w:tc>
        <w:tc>
          <w:tcPr>
            <w:tcW w:w="2253" w:type="dxa"/>
          </w:tcPr>
          <w:p w14:paraId="6913F117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Quarterly payments payable to The Sound at Waterlefe</w:t>
            </w:r>
          </w:p>
        </w:tc>
      </w:tr>
      <w:tr w:rsidR="006979FC" w:rsidRPr="001A02E9" w14:paraId="1D00C836" w14:textId="77777777" w:rsidTr="000E53EC">
        <w:trPr>
          <w:gridAfter w:val="1"/>
          <w:wAfter w:w="45" w:type="dxa"/>
          <w:trHeight w:val="980"/>
        </w:trPr>
        <w:tc>
          <w:tcPr>
            <w:tcW w:w="594" w:type="dxa"/>
            <w:shd w:val="clear" w:color="auto" w:fill="7AF4FA"/>
          </w:tcPr>
          <w:p w14:paraId="68245390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11</w:t>
            </w:r>
          </w:p>
        </w:tc>
        <w:tc>
          <w:tcPr>
            <w:tcW w:w="1326" w:type="dxa"/>
            <w:shd w:val="clear" w:color="auto" w:fill="7AF4FA"/>
          </w:tcPr>
          <w:p w14:paraId="54A69779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Shores Association Dues</w:t>
            </w:r>
          </w:p>
        </w:tc>
        <w:tc>
          <w:tcPr>
            <w:tcW w:w="1471" w:type="dxa"/>
            <w:gridSpan w:val="2"/>
            <w:shd w:val="clear" w:color="auto" w:fill="7AF4FA"/>
          </w:tcPr>
          <w:p w14:paraId="160DE6D5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The Shores Homeowners</w:t>
            </w:r>
          </w:p>
        </w:tc>
        <w:tc>
          <w:tcPr>
            <w:tcW w:w="2819" w:type="dxa"/>
            <w:shd w:val="clear" w:color="auto" w:fill="7AF4FA"/>
          </w:tcPr>
          <w:p w14:paraId="2E5D461B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For the 33 lot / homeowners; this fee covers all common expenses impacting The Shores</w:t>
            </w:r>
          </w:p>
        </w:tc>
        <w:tc>
          <w:tcPr>
            <w:tcW w:w="1810" w:type="dxa"/>
            <w:shd w:val="clear" w:color="auto" w:fill="7AF4FA"/>
          </w:tcPr>
          <w:p w14:paraId="4B5753A6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>
              <w:rPr>
                <w:rFonts w:ascii="Avenir Next LT Pro" w:hAnsi="Avenir Next LT Pro"/>
                <w:sz w:val="19"/>
                <w:szCs w:val="19"/>
              </w:rPr>
              <w:t>650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/year</w:t>
            </w:r>
          </w:p>
        </w:tc>
        <w:tc>
          <w:tcPr>
            <w:tcW w:w="2253" w:type="dxa"/>
            <w:shd w:val="clear" w:color="auto" w:fill="7AF4FA"/>
          </w:tcPr>
          <w:p w14:paraId="7030D8F9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Full payment is due each January to The Shores HOA</w:t>
            </w:r>
          </w:p>
        </w:tc>
      </w:tr>
      <w:tr w:rsidR="006979FC" w:rsidRPr="001A02E9" w14:paraId="17237CE3" w14:textId="77777777" w:rsidTr="000E53EC">
        <w:trPr>
          <w:gridAfter w:val="1"/>
          <w:wAfter w:w="45" w:type="dxa"/>
          <w:trHeight w:val="1340"/>
        </w:trPr>
        <w:tc>
          <w:tcPr>
            <w:tcW w:w="594" w:type="dxa"/>
          </w:tcPr>
          <w:p w14:paraId="420D8DEB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</w:t>
            </w:r>
            <w:r>
              <w:rPr>
                <w:rFonts w:ascii="Avenir Next LT Pro" w:hAnsi="Avenir Next LT Pro"/>
                <w:sz w:val="19"/>
                <w:szCs w:val="19"/>
              </w:rPr>
              <w:t>2</w:t>
            </w:r>
          </w:p>
        </w:tc>
        <w:tc>
          <w:tcPr>
            <w:tcW w:w="1326" w:type="dxa"/>
          </w:tcPr>
          <w:p w14:paraId="1D0A4318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Boat Lift Access Fee</w:t>
            </w:r>
          </w:p>
        </w:tc>
        <w:tc>
          <w:tcPr>
            <w:tcW w:w="1471" w:type="dxa"/>
            <w:gridSpan w:val="2"/>
          </w:tcPr>
          <w:p w14:paraId="2DBCB794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Canal-Front property and/or owners of docks behind the lift</w:t>
            </w:r>
          </w:p>
        </w:tc>
        <w:tc>
          <w:tcPr>
            <w:tcW w:w="2819" w:type="dxa"/>
          </w:tcPr>
          <w:p w14:paraId="3BDB63A9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For the 110 homeowners, administration and maintenance expenses for the boat lift.</w:t>
            </w:r>
          </w:p>
        </w:tc>
        <w:tc>
          <w:tcPr>
            <w:tcW w:w="1810" w:type="dxa"/>
          </w:tcPr>
          <w:p w14:paraId="6A8B1B64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>
              <w:rPr>
                <w:rFonts w:ascii="Avenir Next LT Pro" w:hAnsi="Avenir Next LT Pro"/>
                <w:sz w:val="19"/>
                <w:szCs w:val="19"/>
              </w:rPr>
              <w:t>4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00/year</w:t>
            </w:r>
          </w:p>
        </w:tc>
        <w:tc>
          <w:tcPr>
            <w:tcW w:w="2253" w:type="dxa"/>
          </w:tcPr>
          <w:p w14:paraId="75A6B2BA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Annual billing included in the January MPOA invoice</w:t>
            </w:r>
          </w:p>
        </w:tc>
      </w:tr>
      <w:tr w:rsidR="006979FC" w:rsidRPr="001A02E9" w14:paraId="5CEB2607" w14:textId="77777777" w:rsidTr="000E53EC">
        <w:trPr>
          <w:gridAfter w:val="1"/>
          <w:wAfter w:w="45" w:type="dxa"/>
          <w:trHeight w:val="665"/>
        </w:trPr>
        <w:tc>
          <w:tcPr>
            <w:tcW w:w="594" w:type="dxa"/>
            <w:shd w:val="clear" w:color="auto" w:fill="7AF4FA"/>
          </w:tcPr>
          <w:p w14:paraId="477AD8EC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</w:t>
            </w:r>
            <w:r>
              <w:rPr>
                <w:rFonts w:ascii="Avenir Next LT Pro" w:hAnsi="Avenir Next LT Pro"/>
                <w:sz w:val="19"/>
                <w:szCs w:val="19"/>
              </w:rPr>
              <w:t>3</w:t>
            </w:r>
          </w:p>
        </w:tc>
        <w:tc>
          <w:tcPr>
            <w:tcW w:w="1326" w:type="dxa"/>
            <w:shd w:val="clear" w:color="auto" w:fill="7AF4FA"/>
          </w:tcPr>
          <w:p w14:paraId="4EE0A203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Kayak Rack Rental</w:t>
            </w:r>
          </w:p>
        </w:tc>
        <w:tc>
          <w:tcPr>
            <w:tcW w:w="1471" w:type="dxa"/>
            <w:gridSpan w:val="2"/>
            <w:shd w:val="clear" w:color="auto" w:fill="7AF4FA"/>
          </w:tcPr>
          <w:p w14:paraId="1AB4237C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Kayak Owners</w:t>
            </w:r>
          </w:p>
        </w:tc>
        <w:tc>
          <w:tcPr>
            <w:tcW w:w="2819" w:type="dxa"/>
            <w:shd w:val="clear" w:color="auto" w:fill="7AF4FA"/>
          </w:tcPr>
          <w:p w14:paraId="0BC21016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Rack storage on The Pointe</w:t>
            </w:r>
          </w:p>
        </w:tc>
        <w:tc>
          <w:tcPr>
            <w:tcW w:w="1810" w:type="dxa"/>
            <w:shd w:val="clear" w:color="auto" w:fill="7AF4FA"/>
          </w:tcPr>
          <w:p w14:paraId="2EEFCCC6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$2</w:t>
            </w:r>
            <w:r>
              <w:rPr>
                <w:rFonts w:ascii="Avenir Next LT Pro" w:hAnsi="Avenir Next LT Pro"/>
                <w:sz w:val="19"/>
                <w:szCs w:val="19"/>
              </w:rPr>
              <w:t>25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/year</w:t>
            </w:r>
          </w:p>
        </w:tc>
        <w:tc>
          <w:tcPr>
            <w:tcW w:w="2253" w:type="dxa"/>
            <w:shd w:val="clear" w:color="auto" w:fill="7AF4FA"/>
          </w:tcPr>
          <w:p w14:paraId="408F84EC" w14:textId="77777777" w:rsidR="004E6B55" w:rsidRPr="001A02E9" w:rsidRDefault="004E6B55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Billed annually by Waterlefe MPOA</w:t>
            </w:r>
          </w:p>
        </w:tc>
      </w:tr>
      <w:tr w:rsidR="000E53EC" w:rsidRPr="001A02E9" w14:paraId="0CB35AF3" w14:textId="77777777" w:rsidTr="000E53EC">
        <w:trPr>
          <w:gridAfter w:val="1"/>
          <w:wAfter w:w="45" w:type="dxa"/>
          <w:trHeight w:val="1250"/>
        </w:trPr>
        <w:tc>
          <w:tcPr>
            <w:tcW w:w="594" w:type="dxa"/>
          </w:tcPr>
          <w:p w14:paraId="71E23198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14</w:t>
            </w:r>
          </w:p>
        </w:tc>
        <w:tc>
          <w:tcPr>
            <w:tcW w:w="1326" w:type="dxa"/>
          </w:tcPr>
          <w:p w14:paraId="0D959732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Marina Dues</w:t>
            </w:r>
          </w:p>
        </w:tc>
        <w:tc>
          <w:tcPr>
            <w:tcW w:w="1471" w:type="dxa"/>
            <w:gridSpan w:val="2"/>
          </w:tcPr>
          <w:p w14:paraId="3ED6201F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Marina Club members only</w:t>
            </w:r>
          </w:p>
        </w:tc>
        <w:tc>
          <w:tcPr>
            <w:tcW w:w="2819" w:type="dxa"/>
          </w:tcPr>
          <w:p w14:paraId="379B1FA0" w14:textId="77777777" w:rsidR="000E53EC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Equity membership</w:t>
            </w:r>
            <w:r>
              <w:rPr>
                <w:rFonts w:ascii="Avenir Next LT Pro" w:hAnsi="Avenir Next LT Pro"/>
                <w:sz w:val="19"/>
                <w:szCs w:val="19"/>
              </w:rPr>
              <w:t xml:space="preserve"> 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- administration and service expenses to maintain the</w:t>
            </w:r>
          </w:p>
          <w:p w14:paraId="55191936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59 slip</w:t>
            </w:r>
            <w:r>
              <w:rPr>
                <w:rFonts w:ascii="Avenir Next LT Pro" w:hAnsi="Avenir Next LT Pro"/>
                <w:sz w:val="19"/>
                <w:szCs w:val="19"/>
              </w:rPr>
              <w:t>s at the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 xml:space="preserve"> marina</w:t>
            </w:r>
          </w:p>
        </w:tc>
        <w:tc>
          <w:tcPr>
            <w:tcW w:w="1810" w:type="dxa"/>
          </w:tcPr>
          <w:p w14:paraId="3EE90F86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$1</w:t>
            </w:r>
            <w:r>
              <w:rPr>
                <w:rFonts w:ascii="Avenir Next LT Pro" w:hAnsi="Avenir Next LT Pro"/>
                <w:sz w:val="19"/>
                <w:szCs w:val="19"/>
              </w:rPr>
              <w:t>,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920/year (residents)</w:t>
            </w:r>
          </w:p>
          <w:p w14:paraId="0E055888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</w:p>
          <w:p w14:paraId="7E220C81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$2</w:t>
            </w:r>
            <w:r>
              <w:rPr>
                <w:rFonts w:ascii="Avenir Next LT Pro" w:hAnsi="Avenir Next LT Pro"/>
                <w:sz w:val="19"/>
                <w:szCs w:val="19"/>
              </w:rPr>
              <w:t>,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090/year</w:t>
            </w:r>
          </w:p>
          <w:p w14:paraId="7B46AC6B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(non-residents)</w:t>
            </w:r>
          </w:p>
        </w:tc>
        <w:tc>
          <w:tcPr>
            <w:tcW w:w="2253" w:type="dxa"/>
          </w:tcPr>
          <w:p w14:paraId="615172F0" w14:textId="77777777" w:rsidR="000E53EC" w:rsidRPr="001A02E9" w:rsidRDefault="000E53EC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Billed semi-annually by Waterlefe Marina Club</w:t>
            </w:r>
          </w:p>
        </w:tc>
      </w:tr>
    </w:tbl>
    <w:p w14:paraId="383F04E2" w14:textId="77777777" w:rsidR="007847AB" w:rsidRDefault="007847AB" w:rsidP="001C34A9"/>
    <w:p w14:paraId="044C2BE3" w14:textId="03423C22" w:rsidR="00977BA6" w:rsidRDefault="00C839B0" w:rsidP="00C839B0">
      <w:pPr>
        <w:jc w:val="center"/>
      </w:pPr>
      <w:r>
        <w:rPr>
          <w:rFonts w:ascii="Bahnschrift SemiBold" w:hAnsi="Bahnschrift SemiBold"/>
          <w:sz w:val="28"/>
          <w:szCs w:val="28"/>
        </w:rPr>
        <w:lastRenderedPageBreak/>
        <w:t xml:space="preserve"> GOLF COURSE FEES</w:t>
      </w:r>
    </w:p>
    <w:p w14:paraId="744C1CA1" w14:textId="77777777" w:rsidR="00C839B0" w:rsidRDefault="00C839B0" w:rsidP="001C34A9">
      <w:r>
        <w:tab/>
      </w:r>
    </w:p>
    <w:tbl>
      <w:tblPr>
        <w:tblStyle w:val="TableGrid"/>
        <w:tblW w:w="10255" w:type="dxa"/>
        <w:tblInd w:w="553" w:type="dxa"/>
        <w:tblLook w:val="04A0" w:firstRow="1" w:lastRow="0" w:firstColumn="1" w:lastColumn="0" w:noHBand="0" w:noVBand="1"/>
      </w:tblPr>
      <w:tblGrid>
        <w:gridCol w:w="584"/>
        <w:gridCol w:w="1288"/>
        <w:gridCol w:w="1530"/>
        <w:gridCol w:w="2790"/>
        <w:gridCol w:w="1890"/>
        <w:gridCol w:w="2173"/>
      </w:tblGrid>
      <w:tr w:rsidR="00C839B0" w:rsidRPr="001A02E9" w14:paraId="058C9AEA" w14:textId="77777777" w:rsidTr="00C839B0">
        <w:trPr>
          <w:trHeight w:val="1412"/>
        </w:trPr>
        <w:tc>
          <w:tcPr>
            <w:tcW w:w="584" w:type="dxa"/>
            <w:shd w:val="clear" w:color="auto" w:fill="7AF4FA"/>
          </w:tcPr>
          <w:p w14:paraId="26F34DE4" w14:textId="77777777" w:rsidR="00C839B0" w:rsidRPr="001A02E9" w:rsidRDefault="00C839B0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1</w:t>
            </w:r>
            <w:r>
              <w:rPr>
                <w:rFonts w:ascii="Avenir Next LT Pro" w:hAnsi="Avenir Next LT Pro"/>
                <w:sz w:val="19"/>
                <w:szCs w:val="19"/>
              </w:rPr>
              <w:t>5</w:t>
            </w:r>
          </w:p>
        </w:tc>
        <w:tc>
          <w:tcPr>
            <w:tcW w:w="1288" w:type="dxa"/>
            <w:shd w:val="clear" w:color="auto" w:fill="7AF4FA"/>
          </w:tcPr>
          <w:p w14:paraId="5EFFF1FA" w14:textId="77777777" w:rsidR="00C839B0" w:rsidRPr="001A02E9" w:rsidRDefault="00C839B0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C1488D">
              <w:rPr>
                <w:rFonts w:ascii="Avenir Next LT Pro" w:hAnsi="Avenir Next LT Pro"/>
                <w:sz w:val="18"/>
                <w:szCs w:val="18"/>
              </w:rPr>
              <w:t xml:space="preserve">Golf Club </w:t>
            </w:r>
            <w:r w:rsidRPr="00C1488D">
              <w:rPr>
                <w:rFonts w:ascii="Avenir Next LT Pro" w:hAnsi="Avenir Next LT Pro"/>
                <w:sz w:val="17"/>
                <w:szCs w:val="17"/>
              </w:rPr>
              <w:t>Membership</w:t>
            </w:r>
            <w:r w:rsidRPr="00C1488D">
              <w:rPr>
                <w:rFonts w:ascii="Avenir Next LT Pro" w:hAnsi="Avenir Next LT Pro"/>
                <w:sz w:val="18"/>
                <w:szCs w:val="18"/>
              </w:rPr>
              <w:t xml:space="preserve"> Dues</w:t>
            </w:r>
          </w:p>
        </w:tc>
        <w:tc>
          <w:tcPr>
            <w:tcW w:w="1530" w:type="dxa"/>
            <w:shd w:val="clear" w:color="auto" w:fill="7AF4FA"/>
          </w:tcPr>
          <w:p w14:paraId="1BF2EEF8" w14:textId="77777777" w:rsidR="00C839B0" w:rsidRPr="001A02E9" w:rsidRDefault="00C839B0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Golf Club Passport Members</w:t>
            </w:r>
          </w:p>
        </w:tc>
        <w:tc>
          <w:tcPr>
            <w:tcW w:w="2790" w:type="dxa"/>
            <w:shd w:val="clear" w:color="auto" w:fill="7AF4FA"/>
          </w:tcPr>
          <w:p w14:paraId="51C67031" w14:textId="77777777" w:rsidR="00C839B0" w:rsidRPr="001A02E9" w:rsidRDefault="00C839B0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Annual membership dues; permits playing unlimited number of golf rounds during the year</w:t>
            </w:r>
          </w:p>
        </w:tc>
        <w:tc>
          <w:tcPr>
            <w:tcW w:w="1890" w:type="dxa"/>
            <w:shd w:val="clear" w:color="auto" w:fill="7AF4FA"/>
          </w:tcPr>
          <w:p w14:paraId="44CAE84F" w14:textId="77777777" w:rsidR="00C839B0" w:rsidRPr="001A02E9" w:rsidRDefault="00C839B0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*See Below*</w:t>
            </w:r>
          </w:p>
        </w:tc>
        <w:tc>
          <w:tcPr>
            <w:tcW w:w="2173" w:type="dxa"/>
            <w:shd w:val="clear" w:color="auto" w:fill="7AF4FA"/>
          </w:tcPr>
          <w:p w14:paraId="373EF6BE" w14:textId="77777777" w:rsidR="00C839B0" w:rsidRPr="001A02E9" w:rsidRDefault="00C839B0" w:rsidP="00B2118F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Monthly Statements are emailed from the Waterlefe Golf Club. May be paid via credit card or automatic bank draft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3571"/>
        <w:tblW w:w="10270" w:type="dxa"/>
        <w:tblLayout w:type="fixed"/>
        <w:tblLook w:val="04A0" w:firstRow="1" w:lastRow="0" w:firstColumn="1" w:lastColumn="0" w:noHBand="0" w:noVBand="1"/>
      </w:tblPr>
      <w:tblGrid>
        <w:gridCol w:w="1563"/>
        <w:gridCol w:w="2520"/>
        <w:gridCol w:w="2880"/>
        <w:gridCol w:w="3307"/>
      </w:tblGrid>
      <w:tr w:rsidR="00B36C95" w:rsidRPr="001A02E9" w14:paraId="1CCB67CA" w14:textId="77777777" w:rsidTr="00B36C95">
        <w:trPr>
          <w:trHeight w:val="1520"/>
        </w:trPr>
        <w:tc>
          <w:tcPr>
            <w:tcW w:w="1563" w:type="dxa"/>
            <w:shd w:val="clear" w:color="auto" w:fill="7AF4FA"/>
          </w:tcPr>
          <w:p w14:paraId="25C47169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b/>
                <w:bCs/>
                <w:sz w:val="19"/>
                <w:szCs w:val="19"/>
                <w:u w:val="single"/>
              </w:rPr>
            </w:pPr>
            <w:r w:rsidRPr="001A02E9">
              <w:rPr>
                <w:rFonts w:ascii="Avenir Next LT Pro" w:hAnsi="Avenir Next LT Pro"/>
                <w:b/>
                <w:bCs/>
                <w:sz w:val="19"/>
                <w:szCs w:val="19"/>
                <w:u w:val="single"/>
              </w:rPr>
              <w:t>Initiation Fee</w:t>
            </w:r>
          </w:p>
          <w:p w14:paraId="7C3F92CC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>
              <w:rPr>
                <w:rFonts w:ascii="Avenir Next LT Pro" w:hAnsi="Avenir Next LT Pro"/>
                <w:sz w:val="19"/>
                <w:szCs w:val="19"/>
              </w:rPr>
              <w:t>7,500</w:t>
            </w:r>
          </w:p>
        </w:tc>
        <w:tc>
          <w:tcPr>
            <w:tcW w:w="2520" w:type="dxa"/>
            <w:shd w:val="clear" w:color="auto" w:fill="7AF4FA"/>
          </w:tcPr>
          <w:p w14:paraId="2DEF8B28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b/>
                <w:bCs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b/>
                <w:bCs/>
                <w:sz w:val="19"/>
                <w:szCs w:val="19"/>
              </w:rPr>
              <w:t>Sr. Executive</w:t>
            </w:r>
          </w:p>
          <w:p w14:paraId="59BA3880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(Age 75+)</w:t>
            </w:r>
          </w:p>
          <w:p w14:paraId="58165E77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Family</w:t>
            </w:r>
          </w:p>
          <w:p w14:paraId="6D32DE82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</w:t>
            </w:r>
            <w:r>
              <w:rPr>
                <w:rFonts w:ascii="Avenir Next LT Pro" w:hAnsi="Avenir Next LT Pro"/>
                <w:sz w:val="19"/>
                <w:szCs w:val="19"/>
              </w:rPr>
              <w:t>400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+ tax</w:t>
            </w:r>
          </w:p>
          <w:p w14:paraId="538F14EA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Single</w:t>
            </w:r>
          </w:p>
          <w:p w14:paraId="3322403B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$2</w:t>
            </w:r>
            <w:r>
              <w:rPr>
                <w:rFonts w:ascii="Avenir Next LT Pro" w:hAnsi="Avenir Next LT Pro"/>
                <w:sz w:val="19"/>
                <w:szCs w:val="19"/>
              </w:rPr>
              <w:t>75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+ tax</w:t>
            </w:r>
          </w:p>
        </w:tc>
        <w:tc>
          <w:tcPr>
            <w:tcW w:w="2880" w:type="dxa"/>
            <w:shd w:val="clear" w:color="auto" w:fill="7AF4FA"/>
          </w:tcPr>
          <w:p w14:paraId="4406EE80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b/>
                <w:bCs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b/>
                <w:bCs/>
                <w:sz w:val="19"/>
                <w:szCs w:val="19"/>
              </w:rPr>
              <w:t>Full Executive</w:t>
            </w:r>
          </w:p>
          <w:p w14:paraId="58F880E3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(Age 46 – 75)</w:t>
            </w:r>
          </w:p>
          <w:p w14:paraId="50755CE1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Family</w:t>
            </w:r>
          </w:p>
          <w:p w14:paraId="41790A77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$5</w:t>
            </w:r>
            <w:r>
              <w:rPr>
                <w:rFonts w:ascii="Avenir Next LT Pro" w:hAnsi="Avenir Next LT Pro"/>
                <w:sz w:val="19"/>
                <w:szCs w:val="19"/>
              </w:rPr>
              <w:t>25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+ tax</w:t>
            </w:r>
          </w:p>
          <w:p w14:paraId="5B935231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Single</w:t>
            </w:r>
          </w:p>
          <w:p w14:paraId="3DC50F45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$3</w:t>
            </w:r>
            <w:r>
              <w:rPr>
                <w:rFonts w:ascii="Avenir Next LT Pro" w:hAnsi="Avenir Next LT Pro"/>
                <w:sz w:val="19"/>
                <w:szCs w:val="19"/>
              </w:rPr>
              <w:t>85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+ tax</w:t>
            </w:r>
          </w:p>
        </w:tc>
        <w:tc>
          <w:tcPr>
            <w:tcW w:w="3307" w:type="dxa"/>
            <w:shd w:val="clear" w:color="auto" w:fill="7AF4FA"/>
          </w:tcPr>
          <w:p w14:paraId="4BE7B25E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b/>
                <w:bCs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b/>
                <w:bCs/>
                <w:sz w:val="19"/>
                <w:szCs w:val="19"/>
              </w:rPr>
              <w:t>Jr. Executive</w:t>
            </w:r>
          </w:p>
          <w:p w14:paraId="12B293FF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(Age 45 – 36)</w:t>
            </w:r>
          </w:p>
          <w:p w14:paraId="67E45AED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Family</w:t>
            </w:r>
          </w:p>
          <w:p w14:paraId="3E812644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$3</w:t>
            </w:r>
            <w:r>
              <w:rPr>
                <w:rFonts w:ascii="Avenir Next LT Pro" w:hAnsi="Avenir Next LT Pro"/>
                <w:sz w:val="19"/>
                <w:szCs w:val="19"/>
              </w:rPr>
              <w:t>35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+ tax</w:t>
            </w:r>
          </w:p>
          <w:p w14:paraId="7BA5D551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Single</w:t>
            </w:r>
          </w:p>
          <w:p w14:paraId="23F583BB" w14:textId="77777777" w:rsidR="00B36C95" w:rsidRPr="001A02E9" w:rsidRDefault="00B36C95" w:rsidP="00B36C95">
            <w:pPr>
              <w:jc w:val="center"/>
              <w:rPr>
                <w:rFonts w:ascii="Avenir Next LT Pro" w:hAnsi="Avenir Next LT Pro"/>
                <w:sz w:val="19"/>
                <w:szCs w:val="19"/>
              </w:rPr>
            </w:pPr>
            <w:r w:rsidRPr="001A02E9">
              <w:rPr>
                <w:rFonts w:ascii="Avenir Next LT Pro" w:hAnsi="Avenir Next LT Pro"/>
                <w:sz w:val="19"/>
                <w:szCs w:val="19"/>
              </w:rPr>
              <w:t>$2</w:t>
            </w:r>
            <w:r>
              <w:rPr>
                <w:rFonts w:ascii="Avenir Next LT Pro" w:hAnsi="Avenir Next LT Pro"/>
                <w:sz w:val="19"/>
                <w:szCs w:val="19"/>
              </w:rPr>
              <w:t>20</w:t>
            </w:r>
            <w:r w:rsidRPr="001A02E9">
              <w:rPr>
                <w:rFonts w:ascii="Avenir Next LT Pro" w:hAnsi="Avenir Next LT Pro"/>
                <w:sz w:val="19"/>
                <w:szCs w:val="19"/>
              </w:rPr>
              <w:t>/month + tax</w:t>
            </w:r>
          </w:p>
        </w:tc>
      </w:tr>
    </w:tbl>
    <w:p w14:paraId="1E89580F" w14:textId="77777777" w:rsidR="00DA6B6A" w:rsidRPr="001C34A9" w:rsidRDefault="00DA6B6A" w:rsidP="00B36C95"/>
    <w:sectPr w:rsidR="00DA6B6A" w:rsidRPr="001C34A9" w:rsidSect="007847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7F71E" w14:textId="77777777" w:rsidR="00DD7B30" w:rsidRDefault="00DD7B30" w:rsidP="004C6D44">
      <w:pPr>
        <w:spacing w:after="0" w:line="240" w:lineRule="auto"/>
      </w:pPr>
      <w:r>
        <w:separator/>
      </w:r>
    </w:p>
  </w:endnote>
  <w:endnote w:type="continuationSeparator" w:id="0">
    <w:p w14:paraId="6918118A" w14:textId="77777777" w:rsidR="00DD7B30" w:rsidRDefault="00DD7B30" w:rsidP="004C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6A0B2" w14:textId="77777777" w:rsidR="004C6D44" w:rsidRDefault="004C6D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3A00B" w14:textId="77777777" w:rsidR="004C6D44" w:rsidRDefault="004C6D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CE3F6" w14:textId="77777777" w:rsidR="004C6D44" w:rsidRDefault="004C6D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37AB5" w14:textId="77777777" w:rsidR="00DD7B30" w:rsidRDefault="00DD7B30" w:rsidP="004C6D44">
      <w:pPr>
        <w:spacing w:after="0" w:line="240" w:lineRule="auto"/>
      </w:pPr>
      <w:r>
        <w:separator/>
      </w:r>
    </w:p>
  </w:footnote>
  <w:footnote w:type="continuationSeparator" w:id="0">
    <w:p w14:paraId="43A67FB9" w14:textId="77777777" w:rsidR="00DD7B30" w:rsidRDefault="00DD7B30" w:rsidP="004C6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10008" w14:textId="5A5497E6" w:rsidR="004C6D44" w:rsidRDefault="00AC3B85">
    <w:pPr>
      <w:pStyle w:val="Header"/>
    </w:pPr>
    <w:r>
      <w:rPr>
        <w:noProof/>
      </w:rPr>
      <w:pict w14:anchorId="7A544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795407" o:spid="_x0000_s103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Waterlefe Stationary Generic with Border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F6EBE" w14:textId="0E14C3E1" w:rsidR="004C6D44" w:rsidRDefault="00AC3B85">
    <w:pPr>
      <w:pStyle w:val="Header"/>
    </w:pPr>
    <w:r>
      <w:rPr>
        <w:noProof/>
      </w:rPr>
      <w:pict w14:anchorId="4DAB4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795408" o:spid="_x0000_s103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Waterlefe Stationary Generic with Border and 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E41F2" w14:textId="64F3EDD7" w:rsidR="004C6D44" w:rsidRDefault="00AC3B85">
    <w:pPr>
      <w:pStyle w:val="Header"/>
    </w:pPr>
    <w:r>
      <w:rPr>
        <w:noProof/>
      </w:rPr>
      <w:pict w14:anchorId="7CF83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795406" o:spid="_x0000_s103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Waterlefe Stationary Generic with Border and 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D44"/>
    <w:rsid w:val="00000D15"/>
    <w:rsid w:val="000E53EC"/>
    <w:rsid w:val="000F1841"/>
    <w:rsid w:val="0013424F"/>
    <w:rsid w:val="001826B9"/>
    <w:rsid w:val="00193395"/>
    <w:rsid w:val="001C34A9"/>
    <w:rsid w:val="002057F9"/>
    <w:rsid w:val="002104C8"/>
    <w:rsid w:val="00215D19"/>
    <w:rsid w:val="00231899"/>
    <w:rsid w:val="00286381"/>
    <w:rsid w:val="00297011"/>
    <w:rsid w:val="002C6B0E"/>
    <w:rsid w:val="002F27AE"/>
    <w:rsid w:val="00327007"/>
    <w:rsid w:val="003401FC"/>
    <w:rsid w:val="00340553"/>
    <w:rsid w:val="00390E37"/>
    <w:rsid w:val="003E798D"/>
    <w:rsid w:val="00427C25"/>
    <w:rsid w:val="00447AB8"/>
    <w:rsid w:val="00496731"/>
    <w:rsid w:val="004A573D"/>
    <w:rsid w:val="004C1DF9"/>
    <w:rsid w:val="004C6D44"/>
    <w:rsid w:val="004E6B55"/>
    <w:rsid w:val="00532A9B"/>
    <w:rsid w:val="00541892"/>
    <w:rsid w:val="005844E8"/>
    <w:rsid w:val="005C0B03"/>
    <w:rsid w:val="005C33A9"/>
    <w:rsid w:val="005D6F06"/>
    <w:rsid w:val="005E7D97"/>
    <w:rsid w:val="00626274"/>
    <w:rsid w:val="00643DB3"/>
    <w:rsid w:val="00646B26"/>
    <w:rsid w:val="0066140F"/>
    <w:rsid w:val="006979FC"/>
    <w:rsid w:val="00713DAD"/>
    <w:rsid w:val="00720A04"/>
    <w:rsid w:val="007847AB"/>
    <w:rsid w:val="00797019"/>
    <w:rsid w:val="007C6DC6"/>
    <w:rsid w:val="007E6F5A"/>
    <w:rsid w:val="007F3DED"/>
    <w:rsid w:val="00810818"/>
    <w:rsid w:val="00814EB8"/>
    <w:rsid w:val="008674B4"/>
    <w:rsid w:val="00893D23"/>
    <w:rsid w:val="008B3EF7"/>
    <w:rsid w:val="008D0649"/>
    <w:rsid w:val="008E1DA5"/>
    <w:rsid w:val="008E7D47"/>
    <w:rsid w:val="00962930"/>
    <w:rsid w:val="00977BA6"/>
    <w:rsid w:val="0099009E"/>
    <w:rsid w:val="009C12A9"/>
    <w:rsid w:val="00A07F0B"/>
    <w:rsid w:val="00A4511A"/>
    <w:rsid w:val="00A5271E"/>
    <w:rsid w:val="00AC214D"/>
    <w:rsid w:val="00AC3B85"/>
    <w:rsid w:val="00AD778E"/>
    <w:rsid w:val="00B12C54"/>
    <w:rsid w:val="00B36C95"/>
    <w:rsid w:val="00C15738"/>
    <w:rsid w:val="00C54D6E"/>
    <w:rsid w:val="00C55764"/>
    <w:rsid w:val="00C839B0"/>
    <w:rsid w:val="00CD50E2"/>
    <w:rsid w:val="00CF6D5F"/>
    <w:rsid w:val="00D03222"/>
    <w:rsid w:val="00D17383"/>
    <w:rsid w:val="00D17F45"/>
    <w:rsid w:val="00D20AC1"/>
    <w:rsid w:val="00D4276A"/>
    <w:rsid w:val="00D70773"/>
    <w:rsid w:val="00D83E71"/>
    <w:rsid w:val="00DA6B6A"/>
    <w:rsid w:val="00DB7794"/>
    <w:rsid w:val="00DD59A2"/>
    <w:rsid w:val="00DD7B30"/>
    <w:rsid w:val="00DE465C"/>
    <w:rsid w:val="00E70BCF"/>
    <w:rsid w:val="00E97025"/>
    <w:rsid w:val="00EE704B"/>
    <w:rsid w:val="00EF1472"/>
    <w:rsid w:val="00F06A1A"/>
    <w:rsid w:val="00F40210"/>
    <w:rsid w:val="00F532A6"/>
    <w:rsid w:val="00F54E50"/>
    <w:rsid w:val="00F60CF1"/>
    <w:rsid w:val="00F84703"/>
    <w:rsid w:val="00F91628"/>
    <w:rsid w:val="00FB4ED0"/>
    <w:rsid w:val="00FF3C2F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4E724"/>
  <w15:chartTrackingRefBased/>
  <w15:docId w15:val="{A3946047-EE96-40F1-A8B6-D8C550D2C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D44"/>
  </w:style>
  <w:style w:type="paragraph" w:styleId="Footer">
    <w:name w:val="footer"/>
    <w:basedOn w:val="Normal"/>
    <w:link w:val="FooterChar"/>
    <w:uiPriority w:val="99"/>
    <w:unhideWhenUsed/>
    <w:rsid w:val="004C6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D44"/>
  </w:style>
  <w:style w:type="paragraph" w:styleId="NoSpacing">
    <w:name w:val="No Spacing"/>
    <w:uiPriority w:val="1"/>
    <w:qFormat/>
    <w:rsid w:val="007F3DED"/>
    <w:pPr>
      <w:spacing w:after="0" w:line="240" w:lineRule="auto"/>
    </w:pPr>
    <w:rPr>
      <w:rFonts w:asciiTheme="minorHAnsi" w:hAnsiTheme="minorHAnsi"/>
      <w:sz w:val="22"/>
      <w:szCs w:val="22"/>
    </w:rPr>
  </w:style>
  <w:style w:type="table" w:styleId="TableGrid">
    <w:name w:val="Table Grid"/>
    <w:basedOn w:val="TableNormal"/>
    <w:uiPriority w:val="39"/>
    <w:rsid w:val="00000D15"/>
    <w:pPr>
      <w:spacing w:after="0" w:line="240" w:lineRule="auto"/>
    </w:pPr>
    <w:rPr>
      <w:rFonts w:asciiTheme="minorHAnsi" w:hAnsiTheme="minorHAns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806</Words>
  <Characters>4600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Kotik</dc:creator>
  <cp:keywords/>
  <dc:description/>
  <cp:lastModifiedBy>Waterlefe Communications</cp:lastModifiedBy>
  <cp:revision>2</cp:revision>
  <cp:lastPrinted>2022-05-20T13:41:00Z</cp:lastPrinted>
  <dcterms:created xsi:type="dcterms:W3CDTF">2024-12-12T20:06:00Z</dcterms:created>
  <dcterms:modified xsi:type="dcterms:W3CDTF">2024-12-12T20:06:00Z</dcterms:modified>
</cp:coreProperties>
</file>